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previous ecological studies</w:t>
      </w:r>
      <w:r>
        <w:t xml:space="preserve"> </w:t>
      </w:r>
      <w:r>
        <w:t xml:space="preserve">(Lee et al., 2008; Yi and Kim, 2010; Yim and Kira, 1975)</w:t>
      </w:r>
      <w:r>
        <w:t xml:space="preserve"> </w:t>
      </w:r>
      <w:r>
        <w:t xml:space="preserve">and located the individual artifacts using longitudes and latitudes of assemblages.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7"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76"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Histograms of TCSA values by archaeological site.</w:t>
            </w:r>
          </w:p>
          <w:bookmarkEnd w:id="72"/>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8</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p>
      <w:pPr>
        <w:pStyle w:val="SourceCode"/>
      </w:pPr>
      <w:r>
        <w:rPr>
          <w:rStyle w:val="VerbatimChar"/>
        </w:rPr>
        <w:t xml:space="preserve">                      Df Sum Sq Mean Sq F value Pr(&gt;F)  </w:t>
      </w:r>
      <w:r>
        <w:br/>
      </w:r>
      <w:r>
        <w:rPr>
          <w:rStyle w:val="VerbatimChar"/>
        </w:rPr>
        <w:t xml:space="preserve">as.factor(ecoregion)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spa-gis-tcsa-sites-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TCSA values by assemblages and ecoregions. A. Modern vegetation map defined by temporature and precipitation (modified the map from</w:t>
            </w:r>
            <w:r>
              <w:t xml:space="preserve"> </w:t>
            </w:r>
            <w:r>
              <w:t xml:space="preserve">Yi and Kim (2010)</w:t>
            </w:r>
            <w:r>
              <w:t xml:space="preserve">, but original source is</w:t>
            </w:r>
            <w:r>
              <w:t xml:space="preserve"> </w:t>
            </w:r>
            <w:r>
              <w:t xml:space="preserve">Yim and Kira (1975)</w:t>
            </w:r>
            <w:r>
              <w:t xml:space="preserve">). This map include 3 zones. Central Temporature Zone (CT), South Temporature Zone (ST), and Subtropical-warm Temporature Zone (SW). The individual points indicate assemblages. B. Boxplots for vegitation zones. The individual points indicate artifacts. C. Ecoregion map based on geographical boundaries and ecological conditions (modified the map from</w:t>
            </w:r>
            <w:r>
              <w:t xml:space="preserve"> </w:t>
            </w:r>
            <w:r>
              <w:t xml:space="preserve">Lee et al. (2008)</w:t>
            </w:r>
            <w:r>
              <w:t xml:space="preserve">). The individual points indicate assemblages. This map include 14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 individual points indicate assemblages. D. Boxplots for ecoregion zones, excludings zones with no artifacts. The individual points indicate artifacts.</w:t>
            </w:r>
          </w:p>
        </w:tc>
      </w:tr>
    </w:tbl>
    <w:p>
      <w:pPr>
        <w:pStyle w:val="BodyText"/>
      </w:pPr>
      <w:r>
        <w:t xml:space="preserve">(</w:t>
      </w:r>
      <w:r>
        <w:rPr>
          <w:bCs/>
          <w:b/>
        </w:rPr>
        <w:t xml:space="preserve">spa-gis-tcsa-sites?</w:t>
      </w:r>
      <w:r>
        <w:t xml:space="preserve">)</w:t>
      </w:r>
      <w:r>
        <w:t xml:space="preserve"> </w:t>
      </w:r>
      <w:r>
        <w:t xml:space="preserve">panel A &amp; B</w:t>
      </w:r>
    </w:p>
    <w:p>
      <w:pPr>
        <w:pStyle w:val="BodyText"/>
      </w:pPr>
      <w:r>
        <w:t xml:space="preserve">(</w:t>
      </w:r>
      <w:r>
        <w:rPr>
          <w:bCs/>
          <w:b/>
        </w:rPr>
        <w:t xml:space="preserve">spa-gis-tcsa-sites?</w:t>
      </w:r>
      <w:r>
        <w:t xml:space="preserve">)</w:t>
      </w:r>
      <w:r>
        <w:t xml:space="preserve"> </w:t>
      </w:r>
      <w:r>
        <w:t xml:space="preserve">panel B &amp; C</w:t>
      </w:r>
    </w:p>
    <w:bookmarkEnd w:id="76"/>
    <w:bookmarkEnd w:id="77"/>
    <w:bookmarkStart w:id="78"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Through the Late Paleolithic period, TCSA values showed little directional change (</w:t>
      </w:r>
      <w:hyperlink w:anchor="fig-tcsa-radio-carbon">
        <w:r>
          <w:rPr>
            <w:rStyle w:val="Hyperlink"/>
          </w:rPr>
          <w:t xml:space="preserve">Figure 7</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5</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7</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&lt;–! In discussion we then compare those temporal patterns with demographic and environmental proxies based on summed probability distributions (SPD) and annual temperature changes from</w:t>
      </w:r>
      <w:r>
        <w:t xml:space="preserve"> </w:t>
      </w:r>
      <w:r>
        <w:t xml:space="preserve">Park and Marwick (2022)</w:t>
      </w:r>
      <w:r>
        <w:t xml:space="preserve">. –&gt;</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7</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78"/>
    <w:bookmarkStart w:id="79"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1"/>
    <w:bookmarkStart w:id="146" w:name="references"/>
    <w:p>
      <w:pPr>
        <w:pStyle w:val="Heading1"/>
      </w:pPr>
      <w:r>
        <w:t xml:space="preserve">References</w:t>
      </w:r>
    </w:p>
    <w:bookmarkStart w:id="144" w:name="refs"/>
    <w:bookmarkStart w:id="82"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2"/>
    <w:bookmarkStart w:id="83" w:name="ref-bae2017late"/>
    <w:p>
      <w:pPr>
        <w:pStyle w:val="Bibliography"/>
      </w:pPr>
      <w:r>
        <w:t xml:space="preserve">Bae, C.J., 2017. Late pleistocene human evolution in eastern asia: Behavioral perspectives. Current Anthropology 58, S514–S526.</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core2021team"/>
    <w:p>
      <w:pPr>
        <w:pStyle w:val="Bibliography"/>
      </w:pPr>
      <w:r>
        <w:t xml:space="preserve">Core, R., 2021. Team. R: A language and environment for statistical computing, 2015.</w:t>
      </w:r>
    </w:p>
    <w:bookmarkEnd w:id="92"/>
    <w:bookmarkStart w:id="93" w:name="ref-eren2022plains"/>
    <w:p>
      <w:pPr>
        <w:pStyle w:val="Bibliography"/>
      </w:pPr>
      <w:r>
        <w:t xml:space="preserve">Eren, M.I., Bebber, M.R., Knell, E.J., Story, B., Buchanan, B., 2022. Plains paleoindian projectile point penetration potential. Journal of Anthropological Research 78, 84–112.</w:t>
      </w:r>
    </w:p>
    <w:bookmarkEnd w:id="93"/>
    <w:bookmarkStart w:id="94" w:name="ref-erlandson2014darts"/>
    <w:p>
      <w:pPr>
        <w:pStyle w:val="Bibliography"/>
      </w:pPr>
      <w:r>
        <w:t xml:space="preserve">Erlandson, J.M., Watts, J.L., Jew, N.P., 2014. Darts, arrows, and archaeologists: Distinguishing dart and arrow points in the archaeological record. American Antiquity 79, 162–169.</w:t>
      </w:r>
    </w:p>
    <w:bookmarkEnd w:id="94"/>
    <w:bookmarkStart w:id="95" w:name="ref-fenenga1953weights"/>
    <w:p>
      <w:pPr>
        <w:pStyle w:val="Bibliography"/>
      </w:pPr>
      <w:r>
        <w:t xml:space="preserve">Fenenga, F., 1953. The weights of chipped stone points: A clue to their functions. Southwestern Journal of Anthropology 9, 309–323.</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2"/>
    <w:bookmarkStart w:id="103" w:name="ref-lee2015characteristics"/>
    <w:p>
      <w:pPr>
        <w:pStyle w:val="Bibliography"/>
      </w:pPr>
      <w:r>
        <w:t xml:space="preserve">Lee, G., 2015. The characteristics of upper paleolithic industries in korea. Emergence and diversity of modern human behavior in Paleolithic Asia 270–286.</w:t>
      </w:r>
    </w:p>
    <w:bookmarkEnd w:id="103"/>
    <w:bookmarkStart w:id="104" w:name="ref-lee2012characteristics"/>
    <w:p>
      <w:pPr>
        <w:pStyle w:val="Bibliography"/>
      </w:pPr>
      <w:r>
        <w:t xml:space="preserve">Lee, G., 2012. Characteristics of paleolithic industries in southwestern korea during MIS 3 and MIS 2. Quaternary International 248, 12–21.</w:t>
      </w:r>
    </w:p>
    <w:bookmarkEnd w:id="104"/>
    <w:bookmarkStart w:id="10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5"/>
    <w:bookmarkStart w:id="106" w:name="ref-Lee_Jang_2011"/>
    <w:p>
      <w:pPr>
        <w:pStyle w:val="Bibliography"/>
      </w:pPr>
      <w:r>
        <w:t xml:space="preserve">Lee, H.-J., Jang, D., 2011b. A study on the function and restoration of tanged tools in the upper palaeolithic of korea. Journal of the Korean Palaeolithic Society 23, 103–120.</w:t>
      </w:r>
    </w:p>
    <w:bookmarkEnd w:id="106"/>
    <w:bookmarkStart w:id="107" w:name="ref-lee2011study"/>
    <w:p>
      <w:pPr>
        <w:pStyle w:val="Bibliography"/>
      </w:pPr>
      <w:r>
        <w:t xml:space="preserve">Lee, H.-J., Jang, D., 2011a. A study on the function and restoration of tanged tools in the upper palaeolithic of korea. Journal of the Korean Palaeolithic Society 23, 103–120.</w:t>
      </w:r>
    </w:p>
    <w:bookmarkEnd w:id="107"/>
    <w:bookmarkStart w:id="108" w:name="ref-lee2017korean"/>
    <w:p>
      <w:pPr>
        <w:pStyle w:val="Bibliography"/>
      </w:pPr>
      <w:r>
        <w:t xml:space="preserve">Lee, H.W., Bae, C.J., Lee, C., 2017. The korean early late paleolithic revisited: A view from galsanri. Archaeological and Anthropological Sciences 9, 843–863.</w:t>
      </w:r>
    </w:p>
    <w:bookmarkEnd w:id="108"/>
    <w:bookmarkStart w:id="10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9"/>
    <w:bookmarkStart w:id="110" w:name="ref-Lee_Kong_2002"/>
    <w:p>
      <w:pPr>
        <w:pStyle w:val="Bibliography"/>
      </w:pPr>
      <w:r>
        <w:t xml:space="preserve">Lee, Y., Kong, S., 2002b. New analysis results of suyanggae tanged tools in korea. J Korean Paleol Society 6, 13–24.</w:t>
      </w:r>
    </w:p>
    <w:bookmarkEnd w:id="110"/>
    <w:bookmarkStart w:id="111" w:name="ref-lee2002new"/>
    <w:p>
      <w:pPr>
        <w:pStyle w:val="Bibliography"/>
      </w:pPr>
      <w:r>
        <w:t xml:space="preserve">Lee, Y., Kong, S., 2002a. New analysis results of suyanggae tanged tools in korea. J Korean Paleol Society 6, 13–24.</w:t>
      </w:r>
    </w:p>
    <w:bookmarkEnd w:id="111"/>
    <w:bookmarkStart w:id="11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2"/>
    <w:bookmarkStart w:id="11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3"/>
    <w:bookmarkStart w:id="114" w:name="ref-lombard2020tip"/>
    <w:p>
      <w:pPr>
        <w:pStyle w:val="Bibliography"/>
      </w:pPr>
      <w:r>
        <w:t xml:space="preserve">Lombard, M., 2020. The tip cross-sectional areas of poisoned bone arrowheads from southern africa. Journal of Archaeological Science: Reports 33, 102477.</w:t>
      </w:r>
    </w:p>
    <w:bookmarkEnd w:id="114"/>
    <w:bookmarkStart w:id="115" w:name="ref-lombard2022tip"/>
    <w:p>
      <w:pPr>
        <w:pStyle w:val="Bibliography"/>
      </w:pPr>
      <w:r>
        <w:t xml:space="preserve">Lombard, M., Lotter, M.G., Caruana, M.V., 2022. The tip cross-sectional area (TCSA) method strengthened and constrained with ethno-historical material from sub-saharan africa.</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song2020efficient"/>
    <w:p>
      <w:pPr>
        <w:pStyle w:val="Bibliography"/>
      </w:pPr>
      <w:r>
        <w:t xml:space="preserve">Song, M., Zhong, H., 2020. Efficient weighted univariate clustering maps outstanding dysregulated genomic zones in human cancers. Bioinformatics 36, 5027–5036.</w:t>
      </w:r>
    </w:p>
    <w:bookmarkEnd w:id="138"/>
    <w:bookmarkStart w:id="139" w:name="ref-thomas1978arrowheads"/>
    <w:p>
      <w:pPr>
        <w:pStyle w:val="Bibliography"/>
      </w:pPr>
      <w:r>
        <w:t xml:space="preserve">Thomas, D.H., 1978. Arrowheads and atlatl darts: How the stones got the shaft. American antiquity 43, 461–472.</w:t>
      </w:r>
    </w:p>
    <w:bookmarkEnd w:id="139"/>
    <w:bookmarkStart w:id="140" w:name="ref-wadley2008segment"/>
    <w:p>
      <w:pPr>
        <w:pStyle w:val="Bibliography"/>
      </w:pPr>
      <w:r>
        <w:t xml:space="preserve">Wadley, L., Mohapi, M., 2008. A segment is not a monolith: Evidence from the howiesons poort of sibudu, south africa. Journal of Archaeological Science 35, 2594–2605.</w:t>
      </w:r>
    </w:p>
    <w:bookmarkEnd w:id="140"/>
    <w:bookmarkStart w:id="141" w:name="ref-wang2011ckmeans"/>
    <w:p>
      <w:pPr>
        <w:pStyle w:val="Bibliography"/>
      </w:pPr>
      <w:r>
        <w:t xml:space="preserve">Wang, H., Song, M., 2011. Ckmeans. 1d. Dp: Optimal k-means clustering in one dimension by dynamic programming. The R journal 3, 29.</w:t>
      </w:r>
    </w:p>
    <w:bookmarkEnd w:id="141"/>
    <w:bookmarkStart w:id="142" w:name="ref-yi2010vegetation"/>
    <w:p>
      <w:pPr>
        <w:pStyle w:val="Bibliography"/>
      </w:pPr>
      <w:r>
        <w:t xml:space="preserve">Yi, S., Kim, S.-J., 2010. Vegetation changes in western central region of korean peninsula during the last glacial (ca. 21.1–26.1 cal kyr BP). Geosciences Journal 14, 1–10.</w:t>
      </w:r>
    </w:p>
    <w:bookmarkEnd w:id="142"/>
    <w:bookmarkStart w:id="14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3"/>
    <w:bookmarkEnd w:id="144"/>
    <w:p>
      <w:r>
        <w:br w:type="page"/>
      </w:r>
    </w:p>
    <w:bookmarkStart w:id="145" w:name="colophon"/>
    <w:p>
      <w:pPr>
        <w:pStyle w:val="Heading3"/>
      </w:pPr>
      <w:r>
        <w:t xml:space="preserve">Colophon</w:t>
      </w:r>
    </w:p>
    <w:p>
      <w:pPr>
        <w:pStyle w:val="FirstParagraph"/>
      </w:pPr>
      <w:r>
        <w:t xml:space="preserve">This report was generated on 2022-11-09 06:35:01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2022-11-09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[255793a] 2022-11-09: tried Tukey's HSD</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2022-11-09T14:35:04Z</dcterms:created>
  <dcterms:modified xsi:type="dcterms:W3CDTF">2022-11-09T14:35:04Z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